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4E" w:rsidRDefault="00A0024E" w:rsidP="00A0024E">
      <w:pPr>
        <w:rPr>
          <w:rFonts w:ascii="Arial" w:hAnsi="Arial"/>
          <w:b/>
          <w:sz w:val="24"/>
        </w:rPr>
      </w:pPr>
      <w:r>
        <w:rPr>
          <w:rFonts w:ascii="Arial" w:hAnsi="Arial"/>
          <w:b/>
          <w:sz w:val="24"/>
        </w:rPr>
        <w:t>Kostenübernahme für FM-Anlagen unter Berücksichtigung der zum 01. April 2012 überarbeiteten Hilfsmittelrichtlinie</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Am 17.12.2009 hat das Bundessozialgericht im Rahmen einer grundlegenden Entscheidung festgestellt, dass Schwerhörige Anspruch darauf haben, bestmöglich an das Hörvermögen eines Gesunden herangeführt werden und zwar nicht nur in Ruhe, sondern auch unter Störgeräuschbedingungen (BSG 17.12.2009, Aktenzeichen B 3 KR 20/08 R). Diese Entscheidung des Bundessozialgerichts bezog sich auf die Versorgung mit höherwertigen Hörgeräten, deren Kosten den Festbetrag der Krankenversicherung überstiegen.</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Problematisch ist allerdings, dass viele sprachlichen bzw. auditiven Grundbedürfnisse des täglichen Lebens selbst mit höherwertigen Hörgeräten oder Cochlea-Implantaten nur unzureichend ausgeglichen werden können, da diese Systeme, bedingt durch physikalische Limitationen der Richtmikrofonwirkung, nur in einem Bereich von ca. zwei Meter Sprache von allen anderen Umgebungsgeräuschen hervorheben und damit übertragen können.</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Das bedeutet, dass in sehr vielen akustisch schwierigen Hörsituationen des alltäglichen Lebens (Kindergarten, Schule, berufliche/private Besprechungen mit vielen Personen, Ausbildung, Einkaufen, Straßenverkehr, Auto, etc.) Hörgeräte bzw. Cochlea-Implantate an Grenzen stoßen, in denen Betroffene – im Gegensatz zu ihren gesunden Gesprächspartnern – kein Sprachzugang mehr möglich ist. Das wird durch den Umstand begründet, dass Schwerhörige, in Abhängigkeit ihres Hörverlustes, einen weitaus höheren Signal- Rauschabstand im Gegensatz zum normal Hörenden benötigten. Dieser kann nur durch die Separierung des Nutzsignals (Sprache) von Umgebungsgeräuschen erreicht werden. Ab Entfernungen von zwei Metern gelingt das mit Cochlea-Implantaten und Hörgeräten nur noch unzureichend. Hier kommt die drahtlose Übertragungsanlage zum Tragen.</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Deshalb wurde die Hilfsmittelrichtlinie zum 01. April 2012 unter anderem im Hinblick auf FM-Anlagen wie folgt überarbeitet:</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 18 nennt Übertragungsanlagen als integralen Bestandteil der Hörgeräteversorgung.</w:t>
      </w:r>
    </w:p>
    <w:p w:rsidR="00A0024E" w:rsidRDefault="00A0024E" w:rsidP="00A0024E">
      <w:pPr>
        <w:jc w:val="both"/>
        <w:rPr>
          <w:rFonts w:ascii="Arial" w:hAnsi="Arial"/>
          <w:i/>
        </w:rPr>
      </w:pPr>
    </w:p>
    <w:p w:rsidR="00A0024E" w:rsidRDefault="00A0024E" w:rsidP="00A0024E">
      <w:pPr>
        <w:ind w:left="708"/>
        <w:jc w:val="both"/>
        <w:rPr>
          <w:rFonts w:ascii="Arial" w:hAnsi="Arial"/>
          <w:i/>
        </w:rPr>
      </w:pPr>
      <w:r>
        <w:rPr>
          <w:rFonts w:ascii="Arial" w:hAnsi="Arial"/>
          <w:i/>
        </w:rPr>
        <w:t>§ 18 apparative Hilfsmittel bei Funktionsstörungen des Ohres</w:t>
      </w:r>
    </w:p>
    <w:p w:rsidR="00A0024E" w:rsidRDefault="00A0024E" w:rsidP="00A0024E">
      <w:pPr>
        <w:ind w:left="708"/>
        <w:jc w:val="both"/>
        <w:rPr>
          <w:rFonts w:ascii="Arial" w:hAnsi="Arial"/>
          <w:i/>
        </w:rPr>
      </w:pPr>
    </w:p>
    <w:p w:rsidR="00A0024E" w:rsidRDefault="00A0024E" w:rsidP="00A0024E">
      <w:pPr>
        <w:ind w:left="708"/>
        <w:jc w:val="both"/>
        <w:rPr>
          <w:rFonts w:ascii="Arial" w:hAnsi="Arial"/>
          <w:i/>
        </w:rPr>
      </w:pPr>
      <w:r>
        <w:rPr>
          <w:rFonts w:ascii="Arial" w:hAnsi="Arial"/>
          <w:i/>
        </w:rPr>
        <w:t>Hörhilfen im Sinne des Abschnittes C dieser Richtlinie sind:</w:t>
      </w:r>
    </w:p>
    <w:p w:rsidR="00A0024E" w:rsidRDefault="00A0024E" w:rsidP="00A0024E">
      <w:pPr>
        <w:pStyle w:val="Listenabsatz1"/>
        <w:numPr>
          <w:ilvl w:val="0"/>
          <w:numId w:val="1"/>
        </w:numPr>
        <w:jc w:val="both"/>
        <w:rPr>
          <w:rFonts w:ascii="Arial" w:hAnsi="Arial"/>
          <w:i/>
        </w:rPr>
      </w:pPr>
      <w:r>
        <w:rPr>
          <w:rFonts w:ascii="Arial" w:hAnsi="Arial"/>
          <w:i/>
        </w:rPr>
        <w:t>Hörgeräte (Luftleitungsgeräte und Knochenleitungsgeräte) und Zubehör,</w:t>
      </w:r>
    </w:p>
    <w:p w:rsidR="00A0024E" w:rsidRDefault="00A0024E" w:rsidP="00A0024E">
      <w:pPr>
        <w:pStyle w:val="Listenabsatz1"/>
        <w:numPr>
          <w:ilvl w:val="0"/>
          <w:numId w:val="1"/>
        </w:numPr>
        <w:jc w:val="both"/>
        <w:rPr>
          <w:rFonts w:ascii="Arial" w:hAnsi="Arial"/>
          <w:i/>
        </w:rPr>
      </w:pPr>
      <w:proofErr w:type="spellStart"/>
      <w:r>
        <w:rPr>
          <w:rFonts w:ascii="Arial" w:hAnsi="Arial"/>
          <w:i/>
        </w:rPr>
        <w:t>Tinnitusgeräte</w:t>
      </w:r>
      <w:proofErr w:type="spellEnd"/>
      <w:r>
        <w:rPr>
          <w:rFonts w:ascii="Arial" w:hAnsi="Arial"/>
          <w:i/>
        </w:rPr>
        <w:t xml:space="preserve"> (dazu zählen auch kombinierte </w:t>
      </w:r>
      <w:proofErr w:type="spellStart"/>
      <w:r>
        <w:rPr>
          <w:rFonts w:ascii="Arial" w:hAnsi="Arial"/>
          <w:i/>
        </w:rPr>
        <w:t>Tinnitusgeräte</w:t>
      </w:r>
      <w:proofErr w:type="spellEnd"/>
      <w:r>
        <w:rPr>
          <w:rFonts w:ascii="Arial" w:hAnsi="Arial"/>
          <w:i/>
        </w:rPr>
        <w:t xml:space="preserve">/Hörgeräte, sogenannte </w:t>
      </w:r>
      <w:proofErr w:type="spellStart"/>
      <w:r>
        <w:rPr>
          <w:rFonts w:ascii="Arial" w:hAnsi="Arial"/>
          <w:i/>
        </w:rPr>
        <w:t>Tinnitusinstrumente</w:t>
      </w:r>
      <w:proofErr w:type="spellEnd"/>
      <w:r>
        <w:rPr>
          <w:rFonts w:ascii="Arial" w:hAnsi="Arial"/>
          <w:i/>
        </w:rPr>
        <w:t>) und</w:t>
      </w:r>
    </w:p>
    <w:p w:rsidR="00A0024E" w:rsidRDefault="00A0024E" w:rsidP="00A0024E">
      <w:pPr>
        <w:pStyle w:val="Listenabsatz1"/>
        <w:numPr>
          <w:ilvl w:val="0"/>
          <w:numId w:val="1"/>
        </w:numPr>
        <w:jc w:val="both"/>
        <w:rPr>
          <w:rFonts w:ascii="Arial" w:hAnsi="Arial"/>
          <w:b/>
          <w:u w:val="single"/>
        </w:rPr>
      </w:pPr>
      <w:r>
        <w:rPr>
          <w:rFonts w:ascii="Arial" w:hAnsi="Arial"/>
          <w:b/>
          <w:i/>
          <w:u w:val="single"/>
        </w:rPr>
        <w:t>Übertragungsanlagen</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Das Versorgungsziel von Hörgeräten und Übertragungsanlagen ist gem. § 19 die Erfüllung von sprachlichen Grundbedürfnissen.</w:t>
      </w:r>
    </w:p>
    <w:p w:rsidR="00A0024E" w:rsidRDefault="00A0024E" w:rsidP="00A0024E">
      <w:pPr>
        <w:jc w:val="both"/>
        <w:rPr>
          <w:rFonts w:ascii="Arial" w:hAnsi="Arial"/>
        </w:rPr>
      </w:pPr>
    </w:p>
    <w:p w:rsidR="00A0024E" w:rsidRDefault="00A0024E" w:rsidP="00A0024E">
      <w:pPr>
        <w:ind w:firstLine="708"/>
        <w:jc w:val="both"/>
        <w:rPr>
          <w:rFonts w:ascii="Arial" w:hAnsi="Arial"/>
          <w:i/>
        </w:rPr>
      </w:pPr>
      <w:r>
        <w:rPr>
          <w:rFonts w:ascii="Arial" w:hAnsi="Arial"/>
          <w:i/>
        </w:rPr>
        <w:t>§ 19 Versorgungsziele</w:t>
      </w:r>
    </w:p>
    <w:p w:rsidR="00A0024E" w:rsidRDefault="00A0024E" w:rsidP="00A0024E">
      <w:pPr>
        <w:jc w:val="both"/>
        <w:rPr>
          <w:rFonts w:ascii="Arial" w:hAnsi="Arial"/>
          <w:i/>
        </w:rPr>
      </w:pPr>
      <w:r>
        <w:rPr>
          <w:rFonts w:ascii="Arial" w:hAnsi="Arial"/>
        </w:rPr>
        <w:tab/>
        <w:t>.................</w:t>
      </w:r>
    </w:p>
    <w:p w:rsidR="00A0024E" w:rsidRDefault="00A0024E" w:rsidP="00A0024E">
      <w:pPr>
        <w:ind w:firstLine="708"/>
        <w:jc w:val="both"/>
        <w:rPr>
          <w:rFonts w:ascii="Arial" w:hAnsi="Arial"/>
          <w:i/>
        </w:rPr>
      </w:pPr>
      <w:r>
        <w:rPr>
          <w:rFonts w:ascii="Arial" w:hAnsi="Arial"/>
          <w:i/>
        </w:rPr>
        <w:t xml:space="preserve">Absatz 2 </w:t>
      </w:r>
    </w:p>
    <w:p w:rsidR="00A0024E" w:rsidRDefault="00A0024E" w:rsidP="00A0024E">
      <w:pPr>
        <w:ind w:firstLine="708"/>
        <w:jc w:val="both"/>
        <w:rPr>
          <w:rFonts w:ascii="Arial" w:hAnsi="Arial"/>
          <w:b/>
          <w:i/>
          <w:u w:val="single"/>
        </w:rPr>
      </w:pPr>
      <w:r>
        <w:rPr>
          <w:rFonts w:ascii="Arial" w:hAnsi="Arial"/>
          <w:b/>
          <w:i/>
          <w:u w:val="single"/>
        </w:rPr>
        <w:t>FM-Übertragungsanlagen können verordnet werden, sofern sie zur</w:t>
      </w:r>
    </w:p>
    <w:p w:rsidR="00A0024E" w:rsidRDefault="00A0024E" w:rsidP="00A0024E">
      <w:pPr>
        <w:ind w:firstLine="708"/>
        <w:jc w:val="both"/>
        <w:rPr>
          <w:rFonts w:ascii="Arial" w:hAnsi="Arial"/>
          <w:b/>
          <w:i/>
          <w:u w:val="single"/>
        </w:rPr>
      </w:pPr>
      <w:r>
        <w:rPr>
          <w:rFonts w:ascii="Arial" w:hAnsi="Arial"/>
          <w:b/>
          <w:i/>
          <w:u w:val="single"/>
        </w:rPr>
        <w:t>Befriedigung von allgemeinen Grundbedürfnissen des täglichen Lebens</w:t>
      </w:r>
    </w:p>
    <w:p w:rsidR="00A0024E" w:rsidRDefault="00A0024E" w:rsidP="00A0024E">
      <w:pPr>
        <w:ind w:firstLine="708"/>
        <w:jc w:val="both"/>
        <w:rPr>
          <w:rFonts w:ascii="Arial" w:hAnsi="Arial"/>
          <w:i/>
        </w:rPr>
      </w:pPr>
      <w:r>
        <w:rPr>
          <w:rFonts w:ascii="Arial" w:hAnsi="Arial"/>
          <w:b/>
          <w:i/>
          <w:u w:val="single"/>
        </w:rPr>
        <w:t>erforderlich  sind</w:t>
      </w:r>
      <w:r>
        <w:rPr>
          <w:rFonts w:ascii="Arial" w:hAnsi="Arial"/>
          <w:i/>
        </w:rPr>
        <w:t>, zum Beispiel um im Rahmen der Frühförderung die</w:t>
      </w:r>
    </w:p>
    <w:p w:rsidR="00A0024E" w:rsidRDefault="00A0024E" w:rsidP="00A0024E">
      <w:pPr>
        <w:ind w:firstLine="708"/>
        <w:jc w:val="both"/>
        <w:rPr>
          <w:rFonts w:ascii="Arial" w:hAnsi="Arial"/>
          <w:i/>
        </w:rPr>
      </w:pPr>
      <w:r>
        <w:rPr>
          <w:rFonts w:ascii="Arial" w:hAnsi="Arial"/>
          <w:i/>
        </w:rPr>
        <w:t xml:space="preserve">Sprachentwicklung und / oder Sprachförderung hörbehinderter, </w:t>
      </w:r>
      <w:proofErr w:type="spellStart"/>
      <w:r>
        <w:rPr>
          <w:rFonts w:ascii="Arial" w:hAnsi="Arial"/>
          <w:i/>
        </w:rPr>
        <w:t>hörhilfenversorgter</w:t>
      </w:r>
      <w:proofErr w:type="spellEnd"/>
      <w:r>
        <w:rPr>
          <w:rFonts w:ascii="Arial" w:hAnsi="Arial"/>
          <w:i/>
        </w:rPr>
        <w:t xml:space="preserve"> </w:t>
      </w:r>
    </w:p>
    <w:p w:rsidR="00A0024E" w:rsidRDefault="00A0024E" w:rsidP="00A0024E">
      <w:pPr>
        <w:ind w:firstLine="708"/>
        <w:jc w:val="both"/>
        <w:rPr>
          <w:rFonts w:ascii="Arial" w:hAnsi="Arial"/>
          <w:i/>
        </w:rPr>
      </w:pPr>
      <w:r>
        <w:rPr>
          <w:rFonts w:ascii="Arial" w:hAnsi="Arial"/>
          <w:i/>
        </w:rPr>
        <w:t>bzw. CI-versorgter Kinder zu fördern oder deren Schuldbesuch im Rahmen der</w:t>
      </w:r>
    </w:p>
    <w:p w:rsidR="00A0024E" w:rsidRDefault="00A0024E" w:rsidP="00A0024E">
      <w:pPr>
        <w:ind w:firstLine="708"/>
        <w:jc w:val="both"/>
        <w:rPr>
          <w:rFonts w:ascii="Arial" w:hAnsi="Arial"/>
        </w:rPr>
      </w:pPr>
      <w:r>
        <w:rPr>
          <w:rFonts w:ascii="Arial" w:hAnsi="Arial"/>
          <w:i/>
        </w:rPr>
        <w:t>Schulpflicht zu gewährleisten</w:t>
      </w:r>
      <w:r>
        <w:rPr>
          <w:rFonts w:ascii="Arial" w:hAnsi="Arial"/>
        </w:rPr>
        <w:t>.</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Weiterhin heißt es in den tragenden Gründen zum Beschlussentwurf des gemeinsamen Bundesausschusses über die Neufassung der Hilfsmittel-Richtlinie:</w:t>
      </w:r>
    </w:p>
    <w:p w:rsidR="00A0024E" w:rsidRDefault="00A0024E" w:rsidP="00A0024E">
      <w:pPr>
        <w:jc w:val="both"/>
        <w:rPr>
          <w:rFonts w:ascii="Arial" w:hAnsi="Arial"/>
        </w:rPr>
      </w:pPr>
    </w:p>
    <w:p w:rsidR="00A0024E" w:rsidRDefault="00A0024E" w:rsidP="00A0024E">
      <w:pPr>
        <w:ind w:left="708"/>
        <w:jc w:val="both"/>
        <w:rPr>
          <w:rFonts w:ascii="Arial" w:hAnsi="Arial"/>
          <w:b/>
        </w:rPr>
      </w:pPr>
      <w:r>
        <w:rPr>
          <w:rFonts w:ascii="Arial" w:hAnsi="Arial"/>
        </w:rPr>
        <w:t>„</w:t>
      </w:r>
      <w:r>
        <w:rPr>
          <w:rFonts w:ascii="Arial" w:hAnsi="Arial"/>
          <w:i/>
        </w:rPr>
        <w:t xml:space="preserve">Übertragungsanlagen können dann erforderlich sein, wenn im Falle einer ausgeprägten Schwerhörigkeit ein hohes Kommunikationsbedürfnis im Rahmen der eigenständigen Lebensführung besteht und trotz bestmöglicher Hörgeräteanpassung im </w:t>
      </w:r>
      <w:proofErr w:type="spellStart"/>
      <w:r>
        <w:rPr>
          <w:rFonts w:ascii="Arial" w:hAnsi="Arial"/>
          <w:i/>
        </w:rPr>
        <w:t>Freifeld</w:t>
      </w:r>
      <w:proofErr w:type="spellEnd"/>
      <w:r>
        <w:rPr>
          <w:rFonts w:ascii="Arial" w:hAnsi="Arial"/>
          <w:i/>
        </w:rPr>
        <w:t xml:space="preserve"> </w:t>
      </w:r>
      <w:r>
        <w:rPr>
          <w:rFonts w:ascii="Arial" w:hAnsi="Arial"/>
          <w:b/>
          <w:i/>
          <w:u w:val="single"/>
        </w:rPr>
        <w:t>kein offenes Sprachverstehen</w:t>
      </w:r>
      <w:r>
        <w:rPr>
          <w:rFonts w:ascii="Arial" w:hAnsi="Arial"/>
          <w:i/>
        </w:rPr>
        <w:t xml:space="preserve"> mehr erreicht wird.....“</w:t>
      </w:r>
    </w:p>
    <w:p w:rsidR="00A0024E" w:rsidRDefault="00A0024E" w:rsidP="00A0024E">
      <w:pPr>
        <w:jc w:val="both"/>
        <w:rPr>
          <w:rFonts w:ascii="Arial" w:hAnsi="Arial"/>
        </w:rPr>
      </w:pP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 xml:space="preserve">Auf dieser Basis kann festgehalten werden, dass seit dem 01. April 2012 FM-Anlagen auch für Erwachsene verordnungsfähig sind und die Krankenversicherung grundsätzlich die deren Kosten zu tragen hat, wenn die Betroffenen im Störschall bei 65 dB mit Hörgeräten bzw. CI </w:t>
      </w:r>
      <w:r w:rsidR="000B7AA4">
        <w:rPr>
          <w:rFonts w:ascii="Arial" w:hAnsi="Arial"/>
        </w:rPr>
        <w:t xml:space="preserve">kein offenes Sprachverstehen mehr erreichen kann. </w:t>
      </w:r>
    </w:p>
    <w:p w:rsidR="00A0024E" w:rsidRDefault="00A0024E" w:rsidP="00A0024E">
      <w:pPr>
        <w:jc w:val="both"/>
        <w:rPr>
          <w:rFonts w:ascii="Arial" w:hAnsi="Arial"/>
        </w:rPr>
      </w:pPr>
    </w:p>
    <w:p w:rsidR="00A0024E" w:rsidRDefault="00A0024E" w:rsidP="00A0024E">
      <w:pPr>
        <w:jc w:val="both"/>
        <w:rPr>
          <w:rFonts w:ascii="Arial" w:hAnsi="Arial"/>
        </w:rPr>
      </w:pPr>
      <w:r>
        <w:rPr>
          <w:rFonts w:ascii="Arial" w:hAnsi="Arial"/>
        </w:rPr>
        <w:t xml:space="preserve">Patienten, die mit Hörgeräten bzw. CI im Störgeräusch </w:t>
      </w:r>
      <w:r w:rsidR="000B7AA4">
        <w:rPr>
          <w:rFonts w:ascii="Arial" w:hAnsi="Arial"/>
        </w:rPr>
        <w:t>noch ein offenes Sprachverstehen ereichen</w:t>
      </w:r>
      <w:bookmarkStart w:id="0" w:name="_GoBack"/>
      <w:bookmarkEnd w:id="0"/>
      <w:r>
        <w:rPr>
          <w:rFonts w:ascii="Arial" w:hAnsi="Arial"/>
        </w:rPr>
        <w:t>, aber zum Beispiel aus beruflichen Gründen auf ein besseres Sprachverstehen angewiesen sind, können abhängig von der Dauer ihrer Einzahlung in die Sozialversicherung die Kosten einer beruflich bedingten FM-Anlage entweder bei der Rentenversicherung (15 Beitragsjahre und mehr) oder bei der Bundesagentur für Arbeit (weniger als 15 Beitragsjahre) geltend machen.</w:t>
      </w:r>
    </w:p>
    <w:p w:rsidR="0054057C" w:rsidRDefault="0054057C"/>
    <w:sectPr w:rsidR="00540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A48ACE"/>
    <w:lvl w:ilvl="0">
      <w:numFmt w:val="bullet"/>
      <w:lvlText w:val="*"/>
      <w:lvlJc w:val="left"/>
      <w:pPr>
        <w:ind w:left="0" w:firstLine="0"/>
      </w:pPr>
    </w:lvl>
  </w:abstractNum>
  <w:num w:numId="1">
    <w:abstractNumId w:val="0"/>
    <w:lvlOverride w:ilvl="0">
      <w:lvl w:ilvl="0">
        <w:numFmt w:val="bullet"/>
        <w:lvlText w:val=""/>
        <w:legacy w:legacy="1" w:legacySpace="120" w:legacyIndent="360"/>
        <w:lvlJc w:val="left"/>
        <w:pPr>
          <w:ind w:left="14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4E"/>
    <w:rsid w:val="00005986"/>
    <w:rsid w:val="000103ED"/>
    <w:rsid w:val="00011E61"/>
    <w:rsid w:val="000140A6"/>
    <w:rsid w:val="00015670"/>
    <w:rsid w:val="00021032"/>
    <w:rsid w:val="00021BAD"/>
    <w:rsid w:val="00023936"/>
    <w:rsid w:val="0003085D"/>
    <w:rsid w:val="00031587"/>
    <w:rsid w:val="00045BE7"/>
    <w:rsid w:val="00045C8F"/>
    <w:rsid w:val="0004728A"/>
    <w:rsid w:val="00051DE9"/>
    <w:rsid w:val="00056713"/>
    <w:rsid w:val="000571E9"/>
    <w:rsid w:val="00062010"/>
    <w:rsid w:val="00062D9A"/>
    <w:rsid w:val="00064513"/>
    <w:rsid w:val="00071797"/>
    <w:rsid w:val="00076D12"/>
    <w:rsid w:val="00077916"/>
    <w:rsid w:val="000806DD"/>
    <w:rsid w:val="000812BF"/>
    <w:rsid w:val="00082D9F"/>
    <w:rsid w:val="00085553"/>
    <w:rsid w:val="000867B0"/>
    <w:rsid w:val="000908A0"/>
    <w:rsid w:val="00091DC2"/>
    <w:rsid w:val="00095BCA"/>
    <w:rsid w:val="00095F07"/>
    <w:rsid w:val="00097B97"/>
    <w:rsid w:val="000A0805"/>
    <w:rsid w:val="000A22EB"/>
    <w:rsid w:val="000A6DB2"/>
    <w:rsid w:val="000B188F"/>
    <w:rsid w:val="000B3572"/>
    <w:rsid w:val="000B561F"/>
    <w:rsid w:val="000B5EEB"/>
    <w:rsid w:val="000B78B5"/>
    <w:rsid w:val="000B7AA4"/>
    <w:rsid w:val="000B7BE7"/>
    <w:rsid w:val="000C1EB2"/>
    <w:rsid w:val="000D4DA8"/>
    <w:rsid w:val="000E2F04"/>
    <w:rsid w:val="000E3D0E"/>
    <w:rsid w:val="000E479B"/>
    <w:rsid w:val="000E4D0A"/>
    <w:rsid w:val="000E668A"/>
    <w:rsid w:val="000E6C75"/>
    <w:rsid w:val="000F2211"/>
    <w:rsid w:val="000F25EA"/>
    <w:rsid w:val="000F2F37"/>
    <w:rsid w:val="000F4038"/>
    <w:rsid w:val="000F40E0"/>
    <w:rsid w:val="000F6B6B"/>
    <w:rsid w:val="00103AF8"/>
    <w:rsid w:val="00106DA6"/>
    <w:rsid w:val="00107F97"/>
    <w:rsid w:val="00111D08"/>
    <w:rsid w:val="00111EF4"/>
    <w:rsid w:val="0011468C"/>
    <w:rsid w:val="00116CD4"/>
    <w:rsid w:val="00121D7E"/>
    <w:rsid w:val="00124F2C"/>
    <w:rsid w:val="0012743E"/>
    <w:rsid w:val="00132BCB"/>
    <w:rsid w:val="001357C4"/>
    <w:rsid w:val="00140BBB"/>
    <w:rsid w:val="00142F72"/>
    <w:rsid w:val="00145B06"/>
    <w:rsid w:val="00145E5C"/>
    <w:rsid w:val="001477FF"/>
    <w:rsid w:val="001529A3"/>
    <w:rsid w:val="00155FE8"/>
    <w:rsid w:val="00161F98"/>
    <w:rsid w:val="001670B2"/>
    <w:rsid w:val="001711E5"/>
    <w:rsid w:val="001721AE"/>
    <w:rsid w:val="001750CB"/>
    <w:rsid w:val="00177180"/>
    <w:rsid w:val="00183A9D"/>
    <w:rsid w:val="00186A53"/>
    <w:rsid w:val="001902AD"/>
    <w:rsid w:val="001908C1"/>
    <w:rsid w:val="0019230D"/>
    <w:rsid w:val="001A2BE1"/>
    <w:rsid w:val="001A2BEC"/>
    <w:rsid w:val="001A37DD"/>
    <w:rsid w:val="001B2C88"/>
    <w:rsid w:val="001B4B7F"/>
    <w:rsid w:val="001B6EE1"/>
    <w:rsid w:val="001B7E3E"/>
    <w:rsid w:val="001C2FB5"/>
    <w:rsid w:val="001C46E6"/>
    <w:rsid w:val="001C64A2"/>
    <w:rsid w:val="001C6EB1"/>
    <w:rsid w:val="001D59D9"/>
    <w:rsid w:val="001D6808"/>
    <w:rsid w:val="001D6BCF"/>
    <w:rsid w:val="001D722A"/>
    <w:rsid w:val="001D7DCE"/>
    <w:rsid w:val="001E1D5C"/>
    <w:rsid w:val="001E6D5C"/>
    <w:rsid w:val="001F15E8"/>
    <w:rsid w:val="001F1C47"/>
    <w:rsid w:val="001F3467"/>
    <w:rsid w:val="001F3B3A"/>
    <w:rsid w:val="001F63D2"/>
    <w:rsid w:val="002003CD"/>
    <w:rsid w:val="00204641"/>
    <w:rsid w:val="0020518D"/>
    <w:rsid w:val="00206BAC"/>
    <w:rsid w:val="002115D2"/>
    <w:rsid w:val="00214D17"/>
    <w:rsid w:val="00231030"/>
    <w:rsid w:val="0023314C"/>
    <w:rsid w:val="00233985"/>
    <w:rsid w:val="002369CC"/>
    <w:rsid w:val="00247C5E"/>
    <w:rsid w:val="00253406"/>
    <w:rsid w:val="00254A27"/>
    <w:rsid w:val="002568BC"/>
    <w:rsid w:val="00260F1F"/>
    <w:rsid w:val="002634B4"/>
    <w:rsid w:val="00266F6C"/>
    <w:rsid w:val="002705DF"/>
    <w:rsid w:val="002831F7"/>
    <w:rsid w:val="002925A8"/>
    <w:rsid w:val="0029501E"/>
    <w:rsid w:val="00295504"/>
    <w:rsid w:val="002A1603"/>
    <w:rsid w:val="002A30F1"/>
    <w:rsid w:val="002A682F"/>
    <w:rsid w:val="002B4242"/>
    <w:rsid w:val="002B445C"/>
    <w:rsid w:val="002B674E"/>
    <w:rsid w:val="002C1B08"/>
    <w:rsid w:val="002C323C"/>
    <w:rsid w:val="002D0478"/>
    <w:rsid w:val="002D1EE8"/>
    <w:rsid w:val="002D24F4"/>
    <w:rsid w:val="002D50BD"/>
    <w:rsid w:val="002E07D8"/>
    <w:rsid w:val="002E0A2B"/>
    <w:rsid w:val="002E5971"/>
    <w:rsid w:val="002E6D24"/>
    <w:rsid w:val="002F1B28"/>
    <w:rsid w:val="002F36BE"/>
    <w:rsid w:val="002F4415"/>
    <w:rsid w:val="002F6AB9"/>
    <w:rsid w:val="00301584"/>
    <w:rsid w:val="00302AE8"/>
    <w:rsid w:val="00304033"/>
    <w:rsid w:val="0030441B"/>
    <w:rsid w:val="00314357"/>
    <w:rsid w:val="003151D0"/>
    <w:rsid w:val="00322E4A"/>
    <w:rsid w:val="00326969"/>
    <w:rsid w:val="003367AD"/>
    <w:rsid w:val="00341D8C"/>
    <w:rsid w:val="003420D6"/>
    <w:rsid w:val="00342FD6"/>
    <w:rsid w:val="0034457D"/>
    <w:rsid w:val="00344864"/>
    <w:rsid w:val="00344A10"/>
    <w:rsid w:val="00345D5D"/>
    <w:rsid w:val="00345E8A"/>
    <w:rsid w:val="003518BC"/>
    <w:rsid w:val="00352D3A"/>
    <w:rsid w:val="0036084E"/>
    <w:rsid w:val="0036201A"/>
    <w:rsid w:val="00362BC5"/>
    <w:rsid w:val="003648AE"/>
    <w:rsid w:val="00364F6D"/>
    <w:rsid w:val="0036653B"/>
    <w:rsid w:val="00366EAB"/>
    <w:rsid w:val="00372D90"/>
    <w:rsid w:val="00374373"/>
    <w:rsid w:val="00375640"/>
    <w:rsid w:val="00377326"/>
    <w:rsid w:val="00380AAD"/>
    <w:rsid w:val="00391AEC"/>
    <w:rsid w:val="0039378E"/>
    <w:rsid w:val="003A5B8F"/>
    <w:rsid w:val="003A7E07"/>
    <w:rsid w:val="003B23CC"/>
    <w:rsid w:val="003B35C2"/>
    <w:rsid w:val="003B4FB6"/>
    <w:rsid w:val="003C02B4"/>
    <w:rsid w:val="003C363C"/>
    <w:rsid w:val="003C65A2"/>
    <w:rsid w:val="003D09E8"/>
    <w:rsid w:val="003D209A"/>
    <w:rsid w:val="003D3101"/>
    <w:rsid w:val="003D3871"/>
    <w:rsid w:val="003D5687"/>
    <w:rsid w:val="003E3AB4"/>
    <w:rsid w:val="003E56B6"/>
    <w:rsid w:val="003E6974"/>
    <w:rsid w:val="003F0BED"/>
    <w:rsid w:val="003F1925"/>
    <w:rsid w:val="003F32E0"/>
    <w:rsid w:val="003F55BD"/>
    <w:rsid w:val="0040067E"/>
    <w:rsid w:val="00401E4E"/>
    <w:rsid w:val="004051CE"/>
    <w:rsid w:val="004064C9"/>
    <w:rsid w:val="00407F15"/>
    <w:rsid w:val="0041191B"/>
    <w:rsid w:val="00412337"/>
    <w:rsid w:val="004132FD"/>
    <w:rsid w:val="004137F3"/>
    <w:rsid w:val="0041423F"/>
    <w:rsid w:val="0041595D"/>
    <w:rsid w:val="00416248"/>
    <w:rsid w:val="00417188"/>
    <w:rsid w:val="00422DCD"/>
    <w:rsid w:val="00427EC0"/>
    <w:rsid w:val="00430480"/>
    <w:rsid w:val="004358D0"/>
    <w:rsid w:val="0045556F"/>
    <w:rsid w:val="004606C8"/>
    <w:rsid w:val="00460E62"/>
    <w:rsid w:val="004610D2"/>
    <w:rsid w:val="00461A98"/>
    <w:rsid w:val="00462121"/>
    <w:rsid w:val="004647D7"/>
    <w:rsid w:val="00466185"/>
    <w:rsid w:val="00471D90"/>
    <w:rsid w:val="0048183D"/>
    <w:rsid w:val="00481A08"/>
    <w:rsid w:val="00485D06"/>
    <w:rsid w:val="00485EE2"/>
    <w:rsid w:val="00486FEB"/>
    <w:rsid w:val="00487E50"/>
    <w:rsid w:val="00492E87"/>
    <w:rsid w:val="00494BB2"/>
    <w:rsid w:val="00497165"/>
    <w:rsid w:val="004A04CE"/>
    <w:rsid w:val="004C1163"/>
    <w:rsid w:val="004C29C7"/>
    <w:rsid w:val="004C3132"/>
    <w:rsid w:val="004C449D"/>
    <w:rsid w:val="004C4FF2"/>
    <w:rsid w:val="004C650B"/>
    <w:rsid w:val="004D1D38"/>
    <w:rsid w:val="004D218F"/>
    <w:rsid w:val="004D253F"/>
    <w:rsid w:val="004D3377"/>
    <w:rsid w:val="004D50A6"/>
    <w:rsid w:val="004D586E"/>
    <w:rsid w:val="004D5AEC"/>
    <w:rsid w:val="004D6DEA"/>
    <w:rsid w:val="004D6F7F"/>
    <w:rsid w:val="004E4D3F"/>
    <w:rsid w:val="004E58EB"/>
    <w:rsid w:val="004F1D74"/>
    <w:rsid w:val="004F4738"/>
    <w:rsid w:val="004F504C"/>
    <w:rsid w:val="004F7655"/>
    <w:rsid w:val="005031F9"/>
    <w:rsid w:val="00510685"/>
    <w:rsid w:val="0051381C"/>
    <w:rsid w:val="005139F7"/>
    <w:rsid w:val="00521C6D"/>
    <w:rsid w:val="0052294B"/>
    <w:rsid w:val="00523EEF"/>
    <w:rsid w:val="00526A6F"/>
    <w:rsid w:val="00526F53"/>
    <w:rsid w:val="00527E20"/>
    <w:rsid w:val="005331E0"/>
    <w:rsid w:val="00533999"/>
    <w:rsid w:val="00536C1A"/>
    <w:rsid w:val="00537AA9"/>
    <w:rsid w:val="0054057C"/>
    <w:rsid w:val="00542C87"/>
    <w:rsid w:val="005453AB"/>
    <w:rsid w:val="005458C6"/>
    <w:rsid w:val="00545B28"/>
    <w:rsid w:val="00550DE5"/>
    <w:rsid w:val="00554377"/>
    <w:rsid w:val="005574A7"/>
    <w:rsid w:val="005626F9"/>
    <w:rsid w:val="0056449D"/>
    <w:rsid w:val="00571681"/>
    <w:rsid w:val="0057779C"/>
    <w:rsid w:val="00580654"/>
    <w:rsid w:val="00583BCF"/>
    <w:rsid w:val="005861F1"/>
    <w:rsid w:val="0059091B"/>
    <w:rsid w:val="005963F6"/>
    <w:rsid w:val="005965F3"/>
    <w:rsid w:val="005A6CDA"/>
    <w:rsid w:val="005B012B"/>
    <w:rsid w:val="005B68C0"/>
    <w:rsid w:val="005B7F6F"/>
    <w:rsid w:val="005C06BC"/>
    <w:rsid w:val="005C2B09"/>
    <w:rsid w:val="005C3633"/>
    <w:rsid w:val="005C6DFB"/>
    <w:rsid w:val="005C76F8"/>
    <w:rsid w:val="005D07B1"/>
    <w:rsid w:val="005D11D7"/>
    <w:rsid w:val="005D2A89"/>
    <w:rsid w:val="005E09AC"/>
    <w:rsid w:val="005E3F84"/>
    <w:rsid w:val="005E52B9"/>
    <w:rsid w:val="005F2C05"/>
    <w:rsid w:val="005F54CC"/>
    <w:rsid w:val="005F6B19"/>
    <w:rsid w:val="00604D41"/>
    <w:rsid w:val="00606AC8"/>
    <w:rsid w:val="00614579"/>
    <w:rsid w:val="00616DEE"/>
    <w:rsid w:val="006277A5"/>
    <w:rsid w:val="00627CAB"/>
    <w:rsid w:val="006335CC"/>
    <w:rsid w:val="00645F7B"/>
    <w:rsid w:val="006463F5"/>
    <w:rsid w:val="006536E1"/>
    <w:rsid w:val="00655343"/>
    <w:rsid w:val="006558CF"/>
    <w:rsid w:val="00656934"/>
    <w:rsid w:val="006571C2"/>
    <w:rsid w:val="0065739F"/>
    <w:rsid w:val="00661853"/>
    <w:rsid w:val="00663492"/>
    <w:rsid w:val="00665FBF"/>
    <w:rsid w:val="006675D4"/>
    <w:rsid w:val="0067076B"/>
    <w:rsid w:val="00672530"/>
    <w:rsid w:val="00676259"/>
    <w:rsid w:val="00676BC6"/>
    <w:rsid w:val="006818F5"/>
    <w:rsid w:val="00682383"/>
    <w:rsid w:val="00683729"/>
    <w:rsid w:val="00684FF3"/>
    <w:rsid w:val="0068644C"/>
    <w:rsid w:val="00690432"/>
    <w:rsid w:val="00693829"/>
    <w:rsid w:val="006951AD"/>
    <w:rsid w:val="00696ED9"/>
    <w:rsid w:val="0069762C"/>
    <w:rsid w:val="006A0DAF"/>
    <w:rsid w:val="006A3563"/>
    <w:rsid w:val="006A40E1"/>
    <w:rsid w:val="006A6263"/>
    <w:rsid w:val="006C1947"/>
    <w:rsid w:val="006C77EE"/>
    <w:rsid w:val="006D0EFC"/>
    <w:rsid w:val="006D1B59"/>
    <w:rsid w:val="006D1D71"/>
    <w:rsid w:val="006E63D0"/>
    <w:rsid w:val="006F4661"/>
    <w:rsid w:val="006F5C18"/>
    <w:rsid w:val="00700043"/>
    <w:rsid w:val="00700B95"/>
    <w:rsid w:val="00705A4F"/>
    <w:rsid w:val="007072D0"/>
    <w:rsid w:val="00711F50"/>
    <w:rsid w:val="00712465"/>
    <w:rsid w:val="00714533"/>
    <w:rsid w:val="00714BAD"/>
    <w:rsid w:val="00716729"/>
    <w:rsid w:val="007170BC"/>
    <w:rsid w:val="00717BDF"/>
    <w:rsid w:val="0072190D"/>
    <w:rsid w:val="00721D87"/>
    <w:rsid w:val="00722159"/>
    <w:rsid w:val="0072391A"/>
    <w:rsid w:val="00730BE5"/>
    <w:rsid w:val="00741F4A"/>
    <w:rsid w:val="007442FF"/>
    <w:rsid w:val="00745649"/>
    <w:rsid w:val="00746B1C"/>
    <w:rsid w:val="007471A3"/>
    <w:rsid w:val="0074783E"/>
    <w:rsid w:val="00751FC5"/>
    <w:rsid w:val="007521A6"/>
    <w:rsid w:val="00752AF9"/>
    <w:rsid w:val="00754BFF"/>
    <w:rsid w:val="00755F67"/>
    <w:rsid w:val="00765B23"/>
    <w:rsid w:val="007712F6"/>
    <w:rsid w:val="00771A4D"/>
    <w:rsid w:val="00773330"/>
    <w:rsid w:val="007768C3"/>
    <w:rsid w:val="0077798A"/>
    <w:rsid w:val="0078295D"/>
    <w:rsid w:val="00782A95"/>
    <w:rsid w:val="007942B3"/>
    <w:rsid w:val="00794989"/>
    <w:rsid w:val="007A0860"/>
    <w:rsid w:val="007A244E"/>
    <w:rsid w:val="007A46D0"/>
    <w:rsid w:val="007A4955"/>
    <w:rsid w:val="007A4B2B"/>
    <w:rsid w:val="007A74F4"/>
    <w:rsid w:val="007B0C89"/>
    <w:rsid w:val="007B31F9"/>
    <w:rsid w:val="007B4E36"/>
    <w:rsid w:val="007B5082"/>
    <w:rsid w:val="007B6FD1"/>
    <w:rsid w:val="007C468C"/>
    <w:rsid w:val="007C52C1"/>
    <w:rsid w:val="007D1C2F"/>
    <w:rsid w:val="007D3292"/>
    <w:rsid w:val="007D3823"/>
    <w:rsid w:val="007D47D9"/>
    <w:rsid w:val="007D4DF4"/>
    <w:rsid w:val="007D513C"/>
    <w:rsid w:val="007D653C"/>
    <w:rsid w:val="007D65FB"/>
    <w:rsid w:val="007D7310"/>
    <w:rsid w:val="007E41E8"/>
    <w:rsid w:val="007E53C6"/>
    <w:rsid w:val="007E6A4A"/>
    <w:rsid w:val="007F0D1A"/>
    <w:rsid w:val="007F1538"/>
    <w:rsid w:val="007F372B"/>
    <w:rsid w:val="007F782D"/>
    <w:rsid w:val="008001DA"/>
    <w:rsid w:val="00800425"/>
    <w:rsid w:val="0080168B"/>
    <w:rsid w:val="00803588"/>
    <w:rsid w:val="00805A52"/>
    <w:rsid w:val="008105AB"/>
    <w:rsid w:val="008273C5"/>
    <w:rsid w:val="008316E8"/>
    <w:rsid w:val="00831CAB"/>
    <w:rsid w:val="00834727"/>
    <w:rsid w:val="0083555A"/>
    <w:rsid w:val="00835565"/>
    <w:rsid w:val="008366C9"/>
    <w:rsid w:val="008434F1"/>
    <w:rsid w:val="008456FB"/>
    <w:rsid w:val="008501D7"/>
    <w:rsid w:val="00850755"/>
    <w:rsid w:val="00852D87"/>
    <w:rsid w:val="00853226"/>
    <w:rsid w:val="0085376B"/>
    <w:rsid w:val="00853E02"/>
    <w:rsid w:val="00856861"/>
    <w:rsid w:val="00857F3C"/>
    <w:rsid w:val="00860566"/>
    <w:rsid w:val="008625D6"/>
    <w:rsid w:val="0086344E"/>
    <w:rsid w:val="0086396A"/>
    <w:rsid w:val="00864102"/>
    <w:rsid w:val="00866A79"/>
    <w:rsid w:val="0086716C"/>
    <w:rsid w:val="00872167"/>
    <w:rsid w:val="00872EA8"/>
    <w:rsid w:val="008862EA"/>
    <w:rsid w:val="00886482"/>
    <w:rsid w:val="008901A9"/>
    <w:rsid w:val="00891B20"/>
    <w:rsid w:val="008A006F"/>
    <w:rsid w:val="008A13FA"/>
    <w:rsid w:val="008B3480"/>
    <w:rsid w:val="008B3EB8"/>
    <w:rsid w:val="008B5571"/>
    <w:rsid w:val="008B743C"/>
    <w:rsid w:val="008C0D28"/>
    <w:rsid w:val="008C1921"/>
    <w:rsid w:val="008C4DEC"/>
    <w:rsid w:val="008C5B61"/>
    <w:rsid w:val="008C7BCC"/>
    <w:rsid w:val="008D1671"/>
    <w:rsid w:val="008E12D5"/>
    <w:rsid w:val="008E15DF"/>
    <w:rsid w:val="008E1F16"/>
    <w:rsid w:val="008E4059"/>
    <w:rsid w:val="008E557A"/>
    <w:rsid w:val="008E7134"/>
    <w:rsid w:val="008E7B09"/>
    <w:rsid w:val="008F0456"/>
    <w:rsid w:val="008F679F"/>
    <w:rsid w:val="00902575"/>
    <w:rsid w:val="00903951"/>
    <w:rsid w:val="00905D4E"/>
    <w:rsid w:val="00906FE7"/>
    <w:rsid w:val="00912657"/>
    <w:rsid w:val="00915B9C"/>
    <w:rsid w:val="00924E16"/>
    <w:rsid w:val="00926C66"/>
    <w:rsid w:val="009300BE"/>
    <w:rsid w:val="0094247C"/>
    <w:rsid w:val="00943F87"/>
    <w:rsid w:val="009474C4"/>
    <w:rsid w:val="0094786A"/>
    <w:rsid w:val="00954805"/>
    <w:rsid w:val="009622F8"/>
    <w:rsid w:val="009746EE"/>
    <w:rsid w:val="00976672"/>
    <w:rsid w:val="0098058A"/>
    <w:rsid w:val="00981D7D"/>
    <w:rsid w:val="009866BB"/>
    <w:rsid w:val="0098769E"/>
    <w:rsid w:val="009876CE"/>
    <w:rsid w:val="00996A29"/>
    <w:rsid w:val="00997BB5"/>
    <w:rsid w:val="009A0F7D"/>
    <w:rsid w:val="009A1C57"/>
    <w:rsid w:val="009A29E9"/>
    <w:rsid w:val="009B368D"/>
    <w:rsid w:val="009B6627"/>
    <w:rsid w:val="009B693F"/>
    <w:rsid w:val="009B7FF2"/>
    <w:rsid w:val="009C6654"/>
    <w:rsid w:val="009C7D4A"/>
    <w:rsid w:val="009D0719"/>
    <w:rsid w:val="009D15CB"/>
    <w:rsid w:val="009D38AD"/>
    <w:rsid w:val="009D43AD"/>
    <w:rsid w:val="009D732C"/>
    <w:rsid w:val="009E7720"/>
    <w:rsid w:val="009F0E62"/>
    <w:rsid w:val="009F2B94"/>
    <w:rsid w:val="009F5D68"/>
    <w:rsid w:val="009F7E3C"/>
    <w:rsid w:val="009F7EB1"/>
    <w:rsid w:val="00A0024E"/>
    <w:rsid w:val="00A03D57"/>
    <w:rsid w:val="00A04FB3"/>
    <w:rsid w:val="00A078E7"/>
    <w:rsid w:val="00A10082"/>
    <w:rsid w:val="00A123A9"/>
    <w:rsid w:val="00A26A9B"/>
    <w:rsid w:val="00A27A4B"/>
    <w:rsid w:val="00A34606"/>
    <w:rsid w:val="00A37C1E"/>
    <w:rsid w:val="00A40FF2"/>
    <w:rsid w:val="00A46D39"/>
    <w:rsid w:val="00A52BEA"/>
    <w:rsid w:val="00A567C4"/>
    <w:rsid w:val="00A579C3"/>
    <w:rsid w:val="00A6038F"/>
    <w:rsid w:val="00A61079"/>
    <w:rsid w:val="00A653C1"/>
    <w:rsid w:val="00A655B9"/>
    <w:rsid w:val="00A66CBD"/>
    <w:rsid w:val="00A66FC8"/>
    <w:rsid w:val="00A70DE2"/>
    <w:rsid w:val="00A73BCA"/>
    <w:rsid w:val="00A745A6"/>
    <w:rsid w:val="00A74F46"/>
    <w:rsid w:val="00A77E24"/>
    <w:rsid w:val="00A80AB7"/>
    <w:rsid w:val="00A85CB9"/>
    <w:rsid w:val="00A87A67"/>
    <w:rsid w:val="00A932BA"/>
    <w:rsid w:val="00AA16FD"/>
    <w:rsid w:val="00AA2873"/>
    <w:rsid w:val="00AA2BF5"/>
    <w:rsid w:val="00AA69FE"/>
    <w:rsid w:val="00AB2534"/>
    <w:rsid w:val="00AB4A73"/>
    <w:rsid w:val="00AC2125"/>
    <w:rsid w:val="00AC2248"/>
    <w:rsid w:val="00AC2909"/>
    <w:rsid w:val="00AD0D90"/>
    <w:rsid w:val="00AD0F34"/>
    <w:rsid w:val="00AD63C2"/>
    <w:rsid w:val="00AD7029"/>
    <w:rsid w:val="00AD7742"/>
    <w:rsid w:val="00AE174C"/>
    <w:rsid w:val="00AE46D0"/>
    <w:rsid w:val="00AE4F77"/>
    <w:rsid w:val="00AE589C"/>
    <w:rsid w:val="00AE65AE"/>
    <w:rsid w:val="00AF0061"/>
    <w:rsid w:val="00AF204D"/>
    <w:rsid w:val="00AF47AF"/>
    <w:rsid w:val="00B053D8"/>
    <w:rsid w:val="00B10464"/>
    <w:rsid w:val="00B1076D"/>
    <w:rsid w:val="00B13F27"/>
    <w:rsid w:val="00B214FB"/>
    <w:rsid w:val="00B32126"/>
    <w:rsid w:val="00B32200"/>
    <w:rsid w:val="00B3296C"/>
    <w:rsid w:val="00B333B5"/>
    <w:rsid w:val="00B3502E"/>
    <w:rsid w:val="00B375D3"/>
    <w:rsid w:val="00B4654C"/>
    <w:rsid w:val="00B470B1"/>
    <w:rsid w:val="00B5044C"/>
    <w:rsid w:val="00B638D5"/>
    <w:rsid w:val="00B722B2"/>
    <w:rsid w:val="00B77EC0"/>
    <w:rsid w:val="00B81EE9"/>
    <w:rsid w:val="00B858CF"/>
    <w:rsid w:val="00B92134"/>
    <w:rsid w:val="00B92451"/>
    <w:rsid w:val="00B928CA"/>
    <w:rsid w:val="00B93306"/>
    <w:rsid w:val="00B976AF"/>
    <w:rsid w:val="00BA0856"/>
    <w:rsid w:val="00BA2A6F"/>
    <w:rsid w:val="00BA5263"/>
    <w:rsid w:val="00BA7450"/>
    <w:rsid w:val="00BB14BF"/>
    <w:rsid w:val="00BB2FDC"/>
    <w:rsid w:val="00BB65D3"/>
    <w:rsid w:val="00BB7492"/>
    <w:rsid w:val="00BC0738"/>
    <w:rsid w:val="00BC4445"/>
    <w:rsid w:val="00BC70FA"/>
    <w:rsid w:val="00BD35DA"/>
    <w:rsid w:val="00BD5D6B"/>
    <w:rsid w:val="00BE0E5E"/>
    <w:rsid w:val="00BE2D01"/>
    <w:rsid w:val="00BE48D9"/>
    <w:rsid w:val="00BE5A54"/>
    <w:rsid w:val="00BF0443"/>
    <w:rsid w:val="00BF235E"/>
    <w:rsid w:val="00BF4961"/>
    <w:rsid w:val="00C002E7"/>
    <w:rsid w:val="00C0483C"/>
    <w:rsid w:val="00C124FE"/>
    <w:rsid w:val="00C16E6D"/>
    <w:rsid w:val="00C262E1"/>
    <w:rsid w:val="00C26853"/>
    <w:rsid w:val="00C31FDD"/>
    <w:rsid w:val="00C3330B"/>
    <w:rsid w:val="00C34201"/>
    <w:rsid w:val="00C370B6"/>
    <w:rsid w:val="00C4396D"/>
    <w:rsid w:val="00C4446D"/>
    <w:rsid w:val="00C519FC"/>
    <w:rsid w:val="00C52B24"/>
    <w:rsid w:val="00C53598"/>
    <w:rsid w:val="00C545DB"/>
    <w:rsid w:val="00C666D5"/>
    <w:rsid w:val="00C71BA9"/>
    <w:rsid w:val="00C728F2"/>
    <w:rsid w:val="00C7730F"/>
    <w:rsid w:val="00C90CD6"/>
    <w:rsid w:val="00C94A45"/>
    <w:rsid w:val="00C95260"/>
    <w:rsid w:val="00C95764"/>
    <w:rsid w:val="00C97150"/>
    <w:rsid w:val="00C971CE"/>
    <w:rsid w:val="00CA1BBC"/>
    <w:rsid w:val="00CA3DDE"/>
    <w:rsid w:val="00CA3E62"/>
    <w:rsid w:val="00CA7337"/>
    <w:rsid w:val="00CA7C05"/>
    <w:rsid w:val="00CB363D"/>
    <w:rsid w:val="00CC02E4"/>
    <w:rsid w:val="00CD7B51"/>
    <w:rsid w:val="00CE7A2C"/>
    <w:rsid w:val="00CF446C"/>
    <w:rsid w:val="00CF4C00"/>
    <w:rsid w:val="00CF4C93"/>
    <w:rsid w:val="00CF6915"/>
    <w:rsid w:val="00D02C38"/>
    <w:rsid w:val="00D04BBF"/>
    <w:rsid w:val="00D05371"/>
    <w:rsid w:val="00D054C3"/>
    <w:rsid w:val="00D072A0"/>
    <w:rsid w:val="00D12181"/>
    <w:rsid w:val="00D201DE"/>
    <w:rsid w:val="00D31457"/>
    <w:rsid w:val="00D37D10"/>
    <w:rsid w:val="00D400FD"/>
    <w:rsid w:val="00D406D5"/>
    <w:rsid w:val="00D40B41"/>
    <w:rsid w:val="00D41B8D"/>
    <w:rsid w:val="00D45710"/>
    <w:rsid w:val="00D46B14"/>
    <w:rsid w:val="00D5612F"/>
    <w:rsid w:val="00D605C7"/>
    <w:rsid w:val="00D612DF"/>
    <w:rsid w:val="00D660A4"/>
    <w:rsid w:val="00D6665D"/>
    <w:rsid w:val="00D72C36"/>
    <w:rsid w:val="00D73A7A"/>
    <w:rsid w:val="00D753D5"/>
    <w:rsid w:val="00D761FB"/>
    <w:rsid w:val="00D83750"/>
    <w:rsid w:val="00D91AC7"/>
    <w:rsid w:val="00D91EE0"/>
    <w:rsid w:val="00D9320C"/>
    <w:rsid w:val="00D965F6"/>
    <w:rsid w:val="00DA2EF8"/>
    <w:rsid w:val="00DA528E"/>
    <w:rsid w:val="00DA7CD2"/>
    <w:rsid w:val="00DB54E8"/>
    <w:rsid w:val="00DC0291"/>
    <w:rsid w:val="00DC1225"/>
    <w:rsid w:val="00DC1F8B"/>
    <w:rsid w:val="00DC2023"/>
    <w:rsid w:val="00DC3387"/>
    <w:rsid w:val="00DC439D"/>
    <w:rsid w:val="00DC4698"/>
    <w:rsid w:val="00DC7721"/>
    <w:rsid w:val="00DC798E"/>
    <w:rsid w:val="00DD1112"/>
    <w:rsid w:val="00DD112B"/>
    <w:rsid w:val="00DD47DA"/>
    <w:rsid w:val="00DE2570"/>
    <w:rsid w:val="00DE4DE5"/>
    <w:rsid w:val="00DE611D"/>
    <w:rsid w:val="00DF5972"/>
    <w:rsid w:val="00E16A4B"/>
    <w:rsid w:val="00E207B7"/>
    <w:rsid w:val="00E22D25"/>
    <w:rsid w:val="00E30AE4"/>
    <w:rsid w:val="00E3541E"/>
    <w:rsid w:val="00E406BE"/>
    <w:rsid w:val="00E419A5"/>
    <w:rsid w:val="00E4530E"/>
    <w:rsid w:val="00E47EF8"/>
    <w:rsid w:val="00E556E7"/>
    <w:rsid w:val="00E57C42"/>
    <w:rsid w:val="00E60D57"/>
    <w:rsid w:val="00E63A19"/>
    <w:rsid w:val="00E64D62"/>
    <w:rsid w:val="00E75CA5"/>
    <w:rsid w:val="00E817DD"/>
    <w:rsid w:val="00E85AC1"/>
    <w:rsid w:val="00E85F1F"/>
    <w:rsid w:val="00E91A42"/>
    <w:rsid w:val="00E92882"/>
    <w:rsid w:val="00E9288C"/>
    <w:rsid w:val="00E9311C"/>
    <w:rsid w:val="00E93221"/>
    <w:rsid w:val="00E93428"/>
    <w:rsid w:val="00E94A83"/>
    <w:rsid w:val="00EA1E88"/>
    <w:rsid w:val="00EA5AB7"/>
    <w:rsid w:val="00EA5C13"/>
    <w:rsid w:val="00EA6704"/>
    <w:rsid w:val="00EA71E2"/>
    <w:rsid w:val="00EA726D"/>
    <w:rsid w:val="00EB14CF"/>
    <w:rsid w:val="00EB4E8D"/>
    <w:rsid w:val="00EC01B6"/>
    <w:rsid w:val="00EC2A65"/>
    <w:rsid w:val="00ED2357"/>
    <w:rsid w:val="00ED23AC"/>
    <w:rsid w:val="00ED426B"/>
    <w:rsid w:val="00EE24E6"/>
    <w:rsid w:val="00EE2EE2"/>
    <w:rsid w:val="00EE3D33"/>
    <w:rsid w:val="00EE458C"/>
    <w:rsid w:val="00EE79B4"/>
    <w:rsid w:val="00EF451B"/>
    <w:rsid w:val="00EF627A"/>
    <w:rsid w:val="00EF6634"/>
    <w:rsid w:val="00F002D1"/>
    <w:rsid w:val="00F02C16"/>
    <w:rsid w:val="00F117E7"/>
    <w:rsid w:val="00F124EF"/>
    <w:rsid w:val="00F163F9"/>
    <w:rsid w:val="00F165A5"/>
    <w:rsid w:val="00F21C9A"/>
    <w:rsid w:val="00F319CC"/>
    <w:rsid w:val="00F31A2C"/>
    <w:rsid w:val="00F33E4E"/>
    <w:rsid w:val="00F3408C"/>
    <w:rsid w:val="00F34332"/>
    <w:rsid w:val="00F34BAB"/>
    <w:rsid w:val="00F35918"/>
    <w:rsid w:val="00F52DB1"/>
    <w:rsid w:val="00F559B6"/>
    <w:rsid w:val="00F57CDB"/>
    <w:rsid w:val="00F63324"/>
    <w:rsid w:val="00F66629"/>
    <w:rsid w:val="00F6698C"/>
    <w:rsid w:val="00F673FF"/>
    <w:rsid w:val="00F74DD4"/>
    <w:rsid w:val="00F80A5A"/>
    <w:rsid w:val="00F81618"/>
    <w:rsid w:val="00F84994"/>
    <w:rsid w:val="00F84B65"/>
    <w:rsid w:val="00F951BE"/>
    <w:rsid w:val="00FA22EF"/>
    <w:rsid w:val="00FA319C"/>
    <w:rsid w:val="00FA5DB2"/>
    <w:rsid w:val="00FA67AF"/>
    <w:rsid w:val="00FA6BE6"/>
    <w:rsid w:val="00FA6CA6"/>
    <w:rsid w:val="00FA7C21"/>
    <w:rsid w:val="00FB1556"/>
    <w:rsid w:val="00FC43D4"/>
    <w:rsid w:val="00FC69EE"/>
    <w:rsid w:val="00FD7278"/>
    <w:rsid w:val="00FE0204"/>
    <w:rsid w:val="00FE3F59"/>
    <w:rsid w:val="00FE4C0C"/>
    <w:rsid w:val="00FE4EFD"/>
    <w:rsid w:val="00FF6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024E"/>
    <w:pPr>
      <w:overflowPunct w:val="0"/>
      <w:autoSpaceDE w:val="0"/>
      <w:autoSpaceDN w:val="0"/>
      <w:adjustRightInd w:val="0"/>
      <w:spacing w:line="276" w:lineRule="auto"/>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A002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024E"/>
    <w:pPr>
      <w:overflowPunct w:val="0"/>
      <w:autoSpaceDE w:val="0"/>
      <w:autoSpaceDN w:val="0"/>
      <w:adjustRightInd w:val="0"/>
      <w:spacing w:line="276" w:lineRule="auto"/>
    </w:pPr>
    <w:rPr>
      <w:rFonts w:ascii="Calibri"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A002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7245B469.dotm</Template>
  <TotalTime>0</TotalTime>
  <Pages>2</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Sonova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Luetzen, Martin</dc:creator>
  <cp:lastModifiedBy>Luetzen, Martin</cp:lastModifiedBy>
  <cp:revision>2</cp:revision>
  <cp:lastPrinted>2014-07-16T13:21:00Z</cp:lastPrinted>
  <dcterms:created xsi:type="dcterms:W3CDTF">2014-07-18T11:41:00Z</dcterms:created>
  <dcterms:modified xsi:type="dcterms:W3CDTF">2014-07-18T11:41:00Z</dcterms:modified>
</cp:coreProperties>
</file>